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Bryant PTSA General Meeting minutes </w:t>
      </w:r>
      <w:r w:rsidDel="00000000" w:rsidR="00000000" w:rsidRPr="00000000">
        <w:rPr>
          <w:rtl w:val="0"/>
        </w:rPr>
      </w:r>
    </w:p>
    <w:p w:rsidR="00000000" w:rsidDel="00000000" w:rsidP="00000000" w:rsidRDefault="00000000" w:rsidRPr="00000000" w14:paraId="00000002">
      <w:pPr>
        <w:pBdr>
          <w:bottom w:color="000000" w:space="1" w:sz="12" w:val="single"/>
        </w:pBdr>
        <w:spacing w:after="16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March 1</w:t>
      </w: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color w:val="000000"/>
          <w:sz w:val="22"/>
          <w:szCs w:val="22"/>
          <w:rtl w:val="0"/>
        </w:rPr>
        <w:t xml:space="preserve">, 2024</w:t>
      </w:r>
      <w:r w:rsidDel="00000000" w:rsidR="00000000" w:rsidRPr="00000000">
        <w:rPr>
          <w:rtl w:val="0"/>
        </w:rPr>
      </w:r>
    </w:p>
    <w:tbl>
      <w:tblPr>
        <w:tblStyle w:val="Table1"/>
        <w:tblW w:w="8880.0" w:type="dxa"/>
        <w:jc w:val="left"/>
        <w:tblInd w:w="-120.0" w:type="dxa"/>
        <w:tblLayout w:type="fixed"/>
        <w:tblLook w:val="0400"/>
      </w:tblPr>
      <w:tblGrid>
        <w:gridCol w:w="7500"/>
        <w:gridCol w:w="1380"/>
        <w:tblGridChange w:id="0">
          <w:tblGrid>
            <w:gridCol w:w="7500"/>
            <w:gridCol w:w="1380"/>
          </w:tblGrid>
        </w:tblGridChange>
      </w:tblGrid>
      <w:tr>
        <w:trPr>
          <w:cantSplit w:val="0"/>
          <w:trHeight w:val="340" w:hRule="atLeast"/>
          <w:tblHeader w:val="0"/>
        </w:trPr>
        <w:tc>
          <w:tcPr>
            <w:tcBorders>
              <w:top w:color="7f7f7f" w:space="0" w:sz="8" w:val="single"/>
              <w:left w:color="7f7f7f" w:space="0" w:sz="8" w:val="single"/>
              <w:bottom w:color="7f7f7f" w:space="0" w:sz="8" w:val="single"/>
              <w:right w:color="7f7f7f" w:space="0" w:sz="8" w:val="single"/>
            </w:tcBorders>
            <w:shd w:fill="f2f2f2" w:val="clear"/>
            <w:tcMar>
              <w:top w:w="0.0" w:type="dxa"/>
              <w:left w:w="120.0" w:type="dxa"/>
              <w:bottom w:w="0.0" w:type="dxa"/>
              <w:right w:w="120.0" w:type="dxa"/>
            </w:tcMar>
          </w:tcPr>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Item</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shd w:fill="f2f2f2" w:val="clear"/>
            <w:tcMar>
              <w:top w:w="0.0" w:type="dxa"/>
              <w:left w:w="120.0" w:type="dxa"/>
              <w:bottom w:w="0.0" w:type="dxa"/>
              <w:right w:w="120.0" w:type="dxa"/>
            </w:tcMar>
          </w:tcPr>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Owner</w:t>
            </w:r>
            <w:r w:rsidDel="00000000" w:rsidR="00000000" w:rsidRPr="00000000">
              <w:rPr>
                <w:rtl w:val="0"/>
              </w:rPr>
            </w:r>
          </w:p>
        </w:tc>
      </w:tr>
      <w:tr>
        <w:trPr>
          <w:cantSplit w:val="0"/>
          <w:trHeight w:val="358"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Welcome to March General Membership Meeting</w:t>
            </w:r>
            <w:r w:rsidDel="00000000" w:rsidR="00000000" w:rsidRPr="00000000">
              <w:rPr>
                <w:rtl w:val="0"/>
              </w:rPr>
            </w:r>
          </w:p>
          <w:p w:rsidR="00000000" w:rsidDel="00000000" w:rsidP="00000000" w:rsidRDefault="00000000" w:rsidRPr="00000000" w14:paraId="00000006">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Run through agenda</w:t>
            </w:r>
          </w:p>
          <w:p w:rsidR="00000000" w:rsidDel="00000000" w:rsidP="00000000" w:rsidRDefault="00000000" w:rsidRPr="00000000" w14:paraId="00000007">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Meeting reminders and support</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Presidents</w:t>
            </w:r>
            <w:r w:rsidDel="00000000" w:rsidR="00000000" w:rsidRPr="00000000">
              <w:rPr>
                <w:rtl w:val="0"/>
              </w:rPr>
            </w:r>
          </w:p>
        </w:tc>
      </w:tr>
      <w:tr>
        <w:trPr>
          <w:cantSplit w:val="0"/>
          <w:trHeight w:val="43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Land Acknowledgement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President</w:t>
            </w:r>
            <w:r w:rsidDel="00000000" w:rsidR="00000000" w:rsidRPr="00000000">
              <w:rPr>
                <w:rtl w:val="0"/>
              </w:rPr>
            </w:r>
          </w:p>
        </w:tc>
      </w:tr>
      <w:tr>
        <w:trPr>
          <w:cantSplit w:val="0"/>
          <w:trHeight w:val="43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0B">
            <w:pPr>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0C">
            <w:pPr>
              <w:numPr>
                <w:ilvl w:val="0"/>
                <w:numId w:val="5"/>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From </w:t>
            </w:r>
            <w:r w:rsidDel="00000000" w:rsidR="00000000" w:rsidRPr="00000000">
              <w:rPr>
                <w:rFonts w:ascii="Calibri" w:cs="Calibri" w:eastAsia="Calibri" w:hAnsi="Calibri"/>
                <w:sz w:val="22"/>
                <w:szCs w:val="22"/>
                <w:rtl w:val="0"/>
              </w:rPr>
              <w:t xml:space="preserve">October Meeting Minutes </w:t>
            </w:r>
            <w:r w:rsidDel="00000000" w:rsidR="00000000" w:rsidRPr="00000000">
              <w:rPr>
                <w:rtl w:val="0"/>
              </w:rPr>
            </w:r>
          </w:p>
          <w:p w:rsidR="00000000" w:rsidDel="00000000" w:rsidP="00000000" w:rsidRDefault="00000000" w:rsidRPr="00000000" w14:paraId="0000000D">
            <w:pPr>
              <w:numPr>
                <w:ilvl w:val="0"/>
                <w:numId w:val="5"/>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Matt</w:t>
            </w:r>
            <w:r w:rsidDel="00000000" w:rsidR="00000000" w:rsidRPr="00000000">
              <w:rPr>
                <w:rFonts w:ascii="Calibri" w:cs="Calibri" w:eastAsia="Calibri" w:hAnsi="Calibri"/>
                <w:color w:val="000000"/>
                <w:sz w:val="22"/>
                <w:szCs w:val="22"/>
                <w:rtl w:val="0"/>
              </w:rPr>
              <w:t xml:space="preserve"> motioned to approve, </w:t>
            </w:r>
            <w:r w:rsidDel="00000000" w:rsidR="00000000" w:rsidRPr="00000000">
              <w:rPr>
                <w:rFonts w:ascii="Calibri" w:cs="Calibri" w:eastAsia="Calibri" w:hAnsi="Calibri"/>
                <w:sz w:val="22"/>
                <w:szCs w:val="22"/>
                <w:rtl w:val="0"/>
              </w:rPr>
              <w:t xml:space="preserve">David</w:t>
            </w:r>
            <w:r w:rsidDel="00000000" w:rsidR="00000000" w:rsidRPr="00000000">
              <w:rPr>
                <w:rFonts w:ascii="Calibri" w:cs="Calibri" w:eastAsia="Calibri" w:hAnsi="Calibri"/>
                <w:color w:val="000000"/>
                <w:sz w:val="22"/>
                <w:szCs w:val="22"/>
                <w:rtl w:val="0"/>
              </w:rPr>
              <w:t xml:space="preserve"> seconded</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Calibri" w:cs="Calibri" w:eastAsia="Calibri" w:hAnsi="Calibri"/>
                <w:sz w:val="22"/>
                <w:szCs w:val="22"/>
                <w:rtl w:val="0"/>
              </w:rPr>
              <w:t xml:space="preserve">Secretary</w:t>
            </w:r>
            <w:r w:rsidDel="00000000" w:rsidR="00000000" w:rsidRPr="00000000">
              <w:rPr>
                <w:rtl w:val="0"/>
              </w:rPr>
            </w:r>
          </w:p>
        </w:tc>
      </w:tr>
      <w:tr>
        <w:trPr>
          <w:cantSplit w:val="0"/>
          <w:trHeight w:val="43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Anti-Racist Commitment &amp; Discussion</w:t>
            </w:r>
            <w:r w:rsidDel="00000000" w:rsidR="00000000" w:rsidRPr="00000000">
              <w:rPr>
                <w:rtl w:val="0"/>
              </w:rPr>
            </w:r>
          </w:p>
          <w:p w:rsidR="00000000" w:rsidDel="00000000" w:rsidP="00000000" w:rsidRDefault="00000000" w:rsidRPr="00000000" w14:paraId="00000010">
            <w:pPr>
              <w:numPr>
                <w:ilvl w:val="0"/>
                <w:numId w:val="6"/>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Intersectionality of International Women’s Day </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Women’s Day (March 8th) in 1911, designated by Congress in 1987</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IX, prohibits gender discriminations in federally funded education programs, passed March 1, 1972</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Equal Rights Amendment passed March 22nd, 1976 but is still not fully ratified</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Pay Day is March 24th*</w:t>
            </w:r>
          </w:p>
          <w:p w:rsidR="00000000" w:rsidDel="00000000" w:rsidP="00000000" w:rsidRDefault="00000000" w:rsidRPr="00000000" w14:paraId="0000001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636"/>
                <w:sz w:val="22"/>
                <w:szCs w:val="22"/>
                <w:highlight w:val="white"/>
                <w:u w:val="none"/>
                <w:vertAlign w:val="baseline"/>
                <w:rtl w:val="0"/>
              </w:rPr>
              <w:t xml:space="preserve">Black women would have to work until Aug. 3.</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636"/>
                <w:sz w:val="22"/>
                <w:szCs w:val="22"/>
                <w:highlight w:val="white"/>
                <w:u w:val="none"/>
                <w:vertAlign w:val="baseline"/>
                <w:rtl w:val="0"/>
              </w:rPr>
              <w:t xml:space="preserve">For Latina women, the date doesn’t come until Oct. 21.</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tl w:val="0"/>
              </w:rPr>
            </w:r>
          </w:p>
        </w:tc>
      </w:tr>
      <w:tr>
        <w:trPr>
          <w:cantSplit w:val="0"/>
          <w:trHeight w:val="43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Principal’s Update</w:t>
            </w:r>
            <w:r w:rsidDel="00000000" w:rsidR="00000000" w:rsidRPr="00000000">
              <w:rPr>
                <w:rtl w:val="0"/>
              </w:rPr>
            </w:r>
          </w:p>
          <w:p w:rsidR="00000000" w:rsidDel="00000000" w:rsidP="00000000" w:rsidRDefault="00000000" w:rsidRPr="00000000" w14:paraId="00000019">
            <w:pPr>
              <w:numPr>
                <w:ilvl w:val="0"/>
                <w:numId w:val="6"/>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Charmaine presented likely budget impacts to Bryant </w:t>
            </w:r>
          </w:p>
          <w:p w:rsidR="00000000" w:rsidDel="00000000" w:rsidP="00000000" w:rsidRDefault="00000000" w:rsidRPr="00000000" w14:paraId="0000001A">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Budget Allocation 2024-2025</w:t>
            </w:r>
          </w:p>
          <w:p w:rsidR="00000000" w:rsidDel="00000000" w:rsidP="00000000" w:rsidRDefault="00000000" w:rsidRPr="00000000" w14:paraId="0000001B">
            <w:pPr>
              <w:numPr>
                <w:ilvl w:val="2"/>
                <w:numId w:val="6"/>
              </w:numPr>
              <w:ind w:left="216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We are given a budget and that is what we get.</w:t>
            </w:r>
            <w:r w:rsidDel="00000000" w:rsidR="00000000" w:rsidRPr="00000000">
              <w:rPr>
                <w:rtl w:val="0"/>
              </w:rPr>
            </w:r>
          </w:p>
          <w:p w:rsidR="00000000" w:rsidDel="00000000" w:rsidP="00000000" w:rsidRDefault="00000000" w:rsidRPr="00000000" w14:paraId="0000001C">
            <w:pPr>
              <w:numPr>
                <w:ilvl w:val="2"/>
                <w:numId w:val="6"/>
              </w:numPr>
              <w:ind w:left="216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Charmaine does not believe she will not need to cut anyone.  </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Charmaine Marshall</w:t>
            </w:r>
            <w:r w:rsidDel="00000000" w:rsidR="00000000" w:rsidRPr="00000000">
              <w:rPr>
                <w:rtl w:val="0"/>
              </w:rPr>
            </w:r>
          </w:p>
        </w:tc>
      </w:tr>
      <w:tr>
        <w:trPr>
          <w:cantSplit w:val="0"/>
          <w:trHeight w:val="43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Teacher’s Update - Un</w:t>
            </w:r>
            <w:r w:rsidDel="00000000" w:rsidR="00000000" w:rsidRPr="00000000">
              <w:rPr>
                <w:rFonts w:ascii="Calibri" w:cs="Calibri" w:eastAsia="Calibri" w:hAnsi="Calibri"/>
                <w:b w:val="1"/>
                <w:sz w:val="22"/>
                <w:szCs w:val="22"/>
                <w:rtl w:val="0"/>
              </w:rPr>
              <w:t xml:space="preserve">iversal Design for Learning</w:t>
            </w:r>
            <w:r w:rsidDel="00000000" w:rsidR="00000000" w:rsidRPr="00000000">
              <w:rPr>
                <w:rtl w:val="0"/>
              </w:rPr>
            </w:r>
          </w:p>
          <w:p w:rsidR="00000000" w:rsidDel="00000000" w:rsidP="00000000" w:rsidRDefault="00000000" w:rsidRPr="00000000" w14:paraId="0000001F">
            <w:pPr>
              <w:numPr>
                <w:ilvl w:val="0"/>
                <w:numId w:val="6"/>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Bryant is aligning our practice with the SPS district</w:t>
            </w:r>
          </w:p>
          <w:p w:rsidR="00000000" w:rsidDel="00000000" w:rsidP="00000000" w:rsidRDefault="00000000" w:rsidRPr="00000000" w14:paraId="00000020">
            <w:pPr>
              <w:numPr>
                <w:ilvl w:val="0"/>
                <w:numId w:val="6"/>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Inclusionary practice - SPS is looking at dismantling systems of inequality</w:t>
            </w:r>
          </w:p>
          <w:p w:rsidR="00000000" w:rsidDel="00000000" w:rsidP="00000000" w:rsidRDefault="00000000" w:rsidRPr="00000000" w14:paraId="00000021">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Charmaine and other NE principles on the taskforce together to start looking at messaging.  Consultants started working with consultants.  </w:t>
            </w:r>
          </w:p>
          <w:p w:rsidR="00000000" w:rsidDel="00000000" w:rsidP="00000000" w:rsidRDefault="00000000" w:rsidRPr="00000000" w14:paraId="00000022">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Framework is to incorporate and promote Tier 1 instruction, student efficacy, help us to meet the goals we have set in the Continuous School Improvement Plan (C-SIP)</w:t>
            </w:r>
          </w:p>
          <w:p w:rsidR="00000000" w:rsidDel="00000000" w:rsidP="00000000" w:rsidRDefault="00000000" w:rsidRPr="00000000" w14:paraId="00000023">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 Dimensions of UDL</w:t>
            </w:r>
          </w:p>
          <w:p w:rsidR="00000000" w:rsidDel="00000000" w:rsidP="00000000" w:rsidRDefault="00000000" w:rsidRPr="00000000" w14:paraId="00000024">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Engagement</w:t>
            </w:r>
          </w:p>
          <w:p w:rsidR="00000000" w:rsidDel="00000000" w:rsidP="00000000" w:rsidRDefault="00000000" w:rsidRPr="00000000" w14:paraId="00000025">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Representation </w:t>
            </w:r>
          </w:p>
          <w:p w:rsidR="00000000" w:rsidDel="00000000" w:rsidP="00000000" w:rsidRDefault="00000000" w:rsidRPr="00000000" w14:paraId="00000026">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Action and Expression</w:t>
            </w:r>
          </w:p>
          <w:p w:rsidR="00000000" w:rsidDel="00000000" w:rsidP="00000000" w:rsidRDefault="00000000" w:rsidRPr="00000000" w14:paraId="00000027">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 do we embrace UDL vs. Differentiation</w:t>
            </w:r>
          </w:p>
          <w:p w:rsidR="00000000" w:rsidDel="00000000" w:rsidP="00000000" w:rsidRDefault="00000000" w:rsidRPr="00000000" w14:paraId="00000028">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Partner with students and try to remove barriers</w:t>
            </w:r>
          </w:p>
          <w:p w:rsidR="00000000" w:rsidDel="00000000" w:rsidP="00000000" w:rsidRDefault="00000000" w:rsidRPr="00000000" w14:paraId="00000029">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become active participants</w:t>
            </w:r>
          </w:p>
          <w:p w:rsidR="00000000" w:rsidDel="00000000" w:rsidP="00000000" w:rsidRDefault="00000000" w:rsidRPr="00000000" w14:paraId="0000002A">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Differentiation is teacher focused and UDL allows students to work to form their own groups</w:t>
            </w:r>
          </w:p>
          <w:p w:rsidR="00000000" w:rsidDel="00000000" w:rsidP="00000000" w:rsidRDefault="00000000" w:rsidRPr="00000000" w14:paraId="0000002B">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UDL is not differentiation or acceleration.  Classrooms are set up so that kids are more excited and engaged.  </w:t>
            </w:r>
          </w:p>
          <w:p w:rsidR="00000000" w:rsidDel="00000000" w:rsidP="00000000" w:rsidRDefault="00000000" w:rsidRPr="00000000" w14:paraId="0000002C">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Firm goals and flexible meaning</w:t>
            </w:r>
          </w:p>
          <w:p w:rsidR="00000000" w:rsidDel="00000000" w:rsidP="00000000" w:rsidRDefault="00000000" w:rsidRPr="00000000" w14:paraId="0000002D">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Video shown about dinner party analogy - ensure we are not reacting but instead proactive </w:t>
            </w:r>
          </w:p>
          <w:p w:rsidR="00000000" w:rsidDel="00000000" w:rsidP="00000000" w:rsidRDefault="00000000" w:rsidRPr="00000000" w14:paraId="0000002E">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UDL is raising the bar to challenge students </w:t>
            </w:r>
          </w:p>
          <w:p w:rsidR="00000000" w:rsidDel="00000000" w:rsidP="00000000" w:rsidRDefault="00000000" w:rsidRPr="00000000" w14:paraId="0000002F">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Giving students your choice, your voice, your product </w:t>
            </w:r>
          </w:p>
          <w:p w:rsidR="00000000" w:rsidDel="00000000" w:rsidP="00000000" w:rsidRDefault="00000000" w:rsidRPr="00000000" w14:paraId="00000030">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Elizabeth Day and Katie Lord talked about 5th grade UDL examples </w:t>
            </w:r>
          </w:p>
          <w:p w:rsidR="00000000" w:rsidDel="00000000" w:rsidP="00000000" w:rsidRDefault="00000000" w:rsidRPr="00000000" w14:paraId="00000031">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Math Projects: Engaging in Real World Math </w:t>
            </w:r>
          </w:p>
          <w:p w:rsidR="00000000" w:rsidDel="00000000" w:rsidP="00000000" w:rsidRDefault="00000000" w:rsidRPr="00000000" w14:paraId="00000032">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Salmon Unit</w:t>
            </w:r>
          </w:p>
          <w:p w:rsidR="00000000" w:rsidDel="00000000" w:rsidP="00000000" w:rsidRDefault="00000000" w:rsidRPr="00000000" w14:paraId="00000033">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SDG UDL Projects - essay for World Citizen Essay Contest</w:t>
            </w:r>
          </w:p>
          <w:p w:rsidR="00000000" w:rsidDel="00000000" w:rsidP="00000000" w:rsidRDefault="00000000" w:rsidRPr="00000000" w14:paraId="00000034">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Anne Aliverti talked about specialists (PE, Music, Art)</w:t>
            </w:r>
          </w:p>
          <w:p w:rsidR="00000000" w:rsidDel="00000000" w:rsidP="00000000" w:rsidRDefault="00000000" w:rsidRPr="00000000" w14:paraId="00000035">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Questions:</w:t>
            </w:r>
          </w:p>
          <w:p w:rsidR="00000000" w:rsidDel="00000000" w:rsidP="00000000" w:rsidRDefault="00000000" w:rsidRPr="00000000" w14:paraId="00000036">
            <w:pPr>
              <w:numPr>
                <w:ilvl w:val="1"/>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do you evaluate mastery?</w:t>
            </w:r>
          </w:p>
          <w:p w:rsidR="00000000" w:rsidDel="00000000" w:rsidP="00000000" w:rsidRDefault="00000000" w:rsidRPr="00000000" w14:paraId="00000037">
            <w:pPr>
              <w:numPr>
                <w:ilvl w:val="2"/>
                <w:numId w:val="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There are assessments</w:t>
            </w:r>
          </w:p>
          <w:p w:rsidR="00000000" w:rsidDel="00000000" w:rsidP="00000000" w:rsidRDefault="00000000" w:rsidRPr="00000000" w14:paraId="00000038">
            <w:pPr>
              <w:numPr>
                <w:ilvl w:val="2"/>
                <w:numId w:val="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Charmaine notes we do not teach off grade level.  You should not be grade skipping, need to get to depth of knowledge</w:t>
            </w:r>
          </w:p>
          <w:p w:rsidR="00000000" w:rsidDel="00000000" w:rsidP="00000000" w:rsidRDefault="00000000" w:rsidRPr="00000000" w14:paraId="00000039">
            <w:pPr>
              <w:numPr>
                <w:ilvl w:val="2"/>
                <w:numId w:val="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Allows kids to bring in more of their strengths with support from teachers </w:t>
            </w:r>
          </w:p>
          <w:p w:rsidR="00000000" w:rsidDel="00000000" w:rsidP="00000000" w:rsidRDefault="00000000" w:rsidRPr="00000000" w14:paraId="0000003A">
            <w:pPr>
              <w:numPr>
                <w:ilvl w:val="2"/>
                <w:numId w:val="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Alex talked about teachers making choices in the background (being in tune) to help kids choose different groups and can make adjustments</w:t>
            </w:r>
          </w:p>
          <w:p w:rsidR="00000000" w:rsidDel="00000000" w:rsidP="00000000" w:rsidRDefault="00000000" w:rsidRPr="00000000" w14:paraId="0000003B">
            <w:pPr>
              <w:numPr>
                <w:ilvl w:val="2"/>
                <w:numId w:val="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Having intentionality at the forefront is very important to this model.  </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Calibri" w:cs="Calibri" w:eastAsia="Calibri" w:hAnsi="Calibri"/>
                <w:sz w:val="22"/>
                <w:szCs w:val="22"/>
                <w:rtl w:val="0"/>
              </w:rPr>
              <w:t xml:space="preserve">Charmaine Marshall, Anne Aliverti, Alex Jones, Katie Lord, Elizabeth Day</w:t>
            </w:r>
            <w:r w:rsidDel="00000000" w:rsidR="00000000" w:rsidRPr="00000000">
              <w:rPr>
                <w:rtl w:val="0"/>
              </w:rPr>
            </w:r>
          </w:p>
        </w:tc>
      </w:tr>
      <w:tr>
        <w:trPr>
          <w:cantSplit w:val="0"/>
          <w:trHeight w:val="34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Laser Update: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No one present</w:t>
            </w:r>
            <w:r w:rsidDel="00000000" w:rsidR="00000000" w:rsidRPr="00000000">
              <w:rPr>
                <w:rtl w:val="0"/>
              </w:rPr>
            </w:r>
          </w:p>
        </w:tc>
      </w:tr>
      <w:tr>
        <w:trPr>
          <w:cantSplit w:val="0"/>
          <w:trHeight w:val="1438"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Treasurer Update </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David went over 23-24 Bryant PTSA funding and 2024-2025 Bryant Budget Timeline </w:t>
            </w:r>
          </w:p>
          <w:p w:rsidR="00000000" w:rsidDel="00000000" w:rsidP="00000000" w:rsidRDefault="00000000" w:rsidRPr="00000000" w14:paraId="00000041">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Principals now have their budget in hand and they know what PTSA asks will be. </w:t>
            </w:r>
          </w:p>
          <w:p w:rsidR="00000000" w:rsidDel="00000000" w:rsidP="00000000" w:rsidRDefault="00000000" w:rsidRPr="00000000" w14:paraId="00000042">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Maureen Bhak has stepped up to lead Bryant auction.  </w:t>
            </w:r>
          </w:p>
          <w:p w:rsidR="00000000" w:rsidDel="00000000" w:rsidP="00000000" w:rsidRDefault="00000000" w:rsidRPr="00000000" w14:paraId="00000043">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Majority of budget goes to Staff Salary Grants (220k) broken into 4 invoices.  We have received 1.  </w:t>
            </w:r>
          </w:p>
          <w:p w:rsidR="00000000" w:rsidDel="00000000" w:rsidP="00000000" w:rsidRDefault="00000000" w:rsidRPr="00000000" w14:paraId="00000044">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PY Carryover: 2022-2023’s AIR Salaries/contracts ($18k) were not submitted until this year resulting in overstatement </w:t>
            </w:r>
          </w:p>
          <w:p w:rsidR="00000000" w:rsidDel="00000000" w:rsidP="00000000" w:rsidRDefault="00000000" w:rsidRPr="00000000" w14:paraId="00000045">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David asked for motion to take $13,500 out of reserves for school supplies for next year.  </w:t>
            </w:r>
          </w:p>
          <w:p w:rsidR="00000000" w:rsidDel="00000000" w:rsidP="00000000" w:rsidRDefault="00000000" w:rsidRPr="00000000" w14:paraId="00000046">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Motion to spent $10k from reserves on Bryant Blast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David </w:t>
            </w:r>
          </w:p>
        </w:tc>
      </w:tr>
      <w:tr>
        <w:trPr>
          <w:cantSplit w:val="0"/>
          <w:trHeight w:val="34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48">
            <w:pPr>
              <w:spacing w:after="16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Advocacy Committee</w:t>
            </w:r>
            <w:r w:rsidDel="00000000" w:rsidR="00000000" w:rsidRPr="00000000">
              <w:rPr>
                <w:rtl w:val="0"/>
              </w:rPr>
            </w:r>
          </w:p>
          <w:p w:rsidR="00000000" w:rsidDel="00000000" w:rsidP="00000000" w:rsidRDefault="00000000" w:rsidRPr="00000000" w14:paraId="00000049">
            <w:pPr>
              <w:numPr>
                <w:ilvl w:val="1"/>
                <w:numId w:val="2"/>
              </w:numPr>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 hoc committee </w:t>
            </w:r>
            <w:r w:rsidDel="00000000" w:rsidR="00000000" w:rsidRPr="00000000">
              <w:rPr>
                <w:rFonts w:ascii="Calibri" w:cs="Calibri" w:eastAsia="Calibri" w:hAnsi="Calibri"/>
                <w:sz w:val="22"/>
                <w:szCs w:val="22"/>
                <w:rtl w:val="0"/>
              </w:rPr>
              <w:t xml:space="preserve">proposal</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4A">
            <w:pPr>
              <w:ind w:left="144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Bryant Elementary PTSA Strategic Plan Given a Reduced SPS Funding Environment </w:t>
            </w:r>
          </w:p>
          <w:p w:rsidR="00000000" w:rsidDel="00000000" w:rsidP="00000000" w:rsidRDefault="00000000" w:rsidRPr="00000000" w14:paraId="0000004B">
            <w:pPr>
              <w:numPr>
                <w:ilvl w:val="1"/>
                <w:numId w:val="2"/>
              </w:numPr>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Recommendation to fund ASE, especially to build community.</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4C">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Nicole</w:t>
            </w:r>
            <w:r w:rsidDel="00000000" w:rsidR="00000000" w:rsidRPr="00000000">
              <w:rPr>
                <w:rtl w:val="0"/>
              </w:rPr>
            </w:r>
          </w:p>
        </w:tc>
      </w:tr>
      <w:tr>
        <w:trPr>
          <w:cantSplit w:val="0"/>
          <w:trHeight w:val="34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4D">
            <w:pPr>
              <w:spacing w:after="16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Volunteer Committee</w:t>
            </w:r>
            <w:r w:rsidDel="00000000" w:rsidR="00000000" w:rsidRPr="00000000">
              <w:rPr>
                <w:rtl w:val="0"/>
              </w:rPr>
            </w:r>
          </w:p>
          <w:p w:rsidR="00000000" w:rsidDel="00000000" w:rsidP="00000000" w:rsidRDefault="00000000" w:rsidRPr="00000000" w14:paraId="0000004E">
            <w:pPr>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Still need:</w:t>
            </w:r>
          </w:p>
          <w:p w:rsidR="00000000" w:rsidDel="00000000" w:rsidP="00000000" w:rsidRDefault="00000000" w:rsidRPr="00000000" w14:paraId="0000004F">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Bryant Weekly editor</w:t>
            </w:r>
          </w:p>
          <w:p w:rsidR="00000000" w:rsidDel="00000000" w:rsidP="00000000" w:rsidRDefault="00000000" w:rsidRPr="00000000" w14:paraId="00000050">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Equity</w:t>
            </w:r>
          </w:p>
          <w:p w:rsidR="00000000" w:rsidDel="00000000" w:rsidP="00000000" w:rsidRDefault="00000000" w:rsidRPr="00000000" w14:paraId="00000051">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Nominating</w:t>
            </w:r>
          </w:p>
          <w:p w:rsidR="00000000" w:rsidDel="00000000" w:rsidP="00000000" w:rsidRDefault="00000000" w:rsidRPr="00000000" w14:paraId="00000052">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Lunch monitors</w:t>
            </w:r>
          </w:p>
          <w:p w:rsidR="00000000" w:rsidDel="00000000" w:rsidP="00000000" w:rsidRDefault="00000000" w:rsidRPr="00000000" w14:paraId="00000053">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Bike to Bryant</w:t>
            </w:r>
          </w:p>
          <w:p w:rsidR="00000000" w:rsidDel="00000000" w:rsidP="00000000" w:rsidRDefault="00000000" w:rsidRPr="00000000" w14:paraId="00000054">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Field Day</w:t>
            </w:r>
          </w:p>
          <w:p w:rsidR="00000000" w:rsidDel="00000000" w:rsidP="00000000" w:rsidRDefault="00000000" w:rsidRPr="00000000" w14:paraId="00000055">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Upcoming Events</w:t>
            </w:r>
          </w:p>
          <w:p w:rsidR="00000000" w:rsidDel="00000000" w:rsidP="00000000" w:rsidRDefault="00000000" w:rsidRPr="00000000" w14:paraId="00000056">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Bryant Play 3/22 - 3/24</w:t>
            </w:r>
          </w:p>
          <w:p w:rsidR="00000000" w:rsidDel="00000000" w:rsidP="00000000" w:rsidRDefault="00000000" w:rsidRPr="00000000" w14:paraId="00000057">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Online Auction 3/29 - ⅘</w:t>
            </w:r>
          </w:p>
          <w:p w:rsidR="00000000" w:rsidDel="00000000" w:rsidP="00000000" w:rsidRDefault="00000000" w:rsidRPr="00000000" w14:paraId="00000058">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Science night 4/3</w:t>
            </w:r>
          </w:p>
          <w:p w:rsidR="00000000" w:rsidDel="00000000" w:rsidP="00000000" w:rsidRDefault="00000000" w:rsidRPr="00000000" w14:paraId="00000059">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HIP Packing Party (2nd) - ⅘</w:t>
            </w:r>
          </w:p>
          <w:p w:rsidR="00000000" w:rsidDel="00000000" w:rsidP="00000000" w:rsidRDefault="00000000" w:rsidRPr="00000000" w14:paraId="0000005A">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Family Art Night - 4/25</w:t>
            </w:r>
          </w:p>
          <w:p w:rsidR="00000000" w:rsidDel="00000000" w:rsidP="00000000" w:rsidRDefault="00000000" w:rsidRPr="00000000" w14:paraId="0000005B">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Bike to School Month - May</w:t>
            </w:r>
          </w:p>
          <w:p w:rsidR="00000000" w:rsidDel="00000000" w:rsidP="00000000" w:rsidRDefault="00000000" w:rsidRPr="00000000" w14:paraId="0000005C">
            <w:pPr>
              <w:numPr>
                <w:ilvl w:val="1"/>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Bryant Blast - 5/4</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Mo</w:t>
            </w:r>
            <w:r w:rsidDel="00000000" w:rsidR="00000000" w:rsidRPr="00000000">
              <w:rPr>
                <w:rtl w:val="0"/>
              </w:rPr>
            </w:r>
          </w:p>
        </w:tc>
      </w:tr>
      <w:tr>
        <w:trPr>
          <w:cantSplit w:val="0"/>
          <w:trHeight w:val="34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5E">
            <w:pPr>
              <w:spacing w:after="16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New Business</w:t>
            </w:r>
            <w:r w:rsidDel="00000000" w:rsidR="00000000" w:rsidRPr="00000000">
              <w:rPr>
                <w:rtl w:val="0"/>
              </w:rPr>
            </w:r>
          </w:p>
          <w:p w:rsidR="00000000" w:rsidDel="00000000" w:rsidP="00000000" w:rsidRDefault="00000000" w:rsidRPr="00000000" w14:paraId="0000005F">
            <w:pPr>
              <w:numPr>
                <w:ilvl w:val="1"/>
                <w:numId w:val="2"/>
              </w:numPr>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Signed Letter of Intent for PTSA grant funded positions ing ’23-’24 school year.  More information on this next month.  </w:t>
            </w:r>
          </w:p>
          <w:p w:rsidR="00000000" w:rsidDel="00000000" w:rsidP="00000000" w:rsidRDefault="00000000" w:rsidRPr="00000000" w14:paraId="00000060">
            <w:pPr>
              <w:numPr>
                <w:ilvl w:val="1"/>
                <w:numId w:val="2"/>
              </w:numPr>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ASE relationship forming with Clive and Elaine who were formerly providing these services.  We will not be responsible for funding their business.  There will be small volunteer role to help with oversight of ASE.  </w:t>
            </w:r>
          </w:p>
          <w:p w:rsidR="00000000" w:rsidDel="00000000" w:rsidP="00000000" w:rsidRDefault="00000000" w:rsidRPr="00000000" w14:paraId="00000061">
            <w:pPr>
              <w:numPr>
                <w:ilvl w:val="1"/>
                <w:numId w:val="2"/>
              </w:numPr>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Motion to provide $400 from unallocated funds to provide scholarships as needed for this year.  </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Mary/Carrie</w:t>
            </w:r>
            <w:r w:rsidDel="00000000" w:rsidR="00000000" w:rsidRPr="00000000">
              <w:rPr>
                <w:rtl w:val="0"/>
              </w:rPr>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Fonts w:ascii="Calibri" w:cs="Calibri" w:eastAsia="Calibri" w:hAnsi="Calibri"/>
                <w:b w:val="1"/>
                <w:color w:val="000000"/>
                <w:sz w:val="22"/>
                <w:szCs w:val="22"/>
                <w:rtl w:val="0"/>
              </w:rPr>
              <w:t xml:space="preserve">Adjourn</w:t>
            </w:r>
            <w:r w:rsidDel="00000000" w:rsidR="00000000" w:rsidRPr="00000000">
              <w:rPr>
                <w:rtl w:val="0"/>
              </w:rPr>
            </w:r>
          </w:p>
          <w:p w:rsidR="00000000" w:rsidDel="00000000" w:rsidP="00000000" w:rsidRDefault="00000000" w:rsidRPr="00000000" w14:paraId="00000064">
            <w:pPr>
              <w:numPr>
                <w:ilvl w:val="0"/>
                <w:numId w:val="3"/>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David moved to adjourn,  Matt seconded. </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2"/>
                <w:szCs w:val="22"/>
                <w:rtl w:val="0"/>
              </w:rPr>
              <w:t xml:space="preserve"> Kathy</w:t>
            </w:r>
            <w:r w:rsidDel="00000000" w:rsidR="00000000" w:rsidRPr="00000000">
              <w:rPr>
                <w:rtl w:val="0"/>
              </w:rPr>
            </w:r>
          </w:p>
        </w:tc>
      </w:tr>
    </w:tbl>
    <w:p w:rsidR="00000000" w:rsidDel="00000000" w:rsidP="00000000" w:rsidRDefault="00000000" w:rsidRPr="00000000" w14:paraId="00000066">
      <w:pPr>
        <w:spacing w:after="240" w:lineRule="auto"/>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B6340"/>
    <w:pPr>
      <w:spacing w:after="100" w:afterAutospacing="1" w:before="100" w:beforeAutospacing="1"/>
    </w:pPr>
    <w:rPr>
      <w:rFonts w:ascii="Times New Roman" w:cs="Times New Roman" w:hAnsi="Times New Roman"/>
      <w:sz w:val="20"/>
      <w:szCs w:val="20"/>
    </w:rPr>
  </w:style>
  <w:style w:type="character" w:styleId="Hyperlink">
    <w:name w:val="Hyperlink"/>
    <w:basedOn w:val="DefaultParagraphFont"/>
    <w:uiPriority w:val="99"/>
    <w:semiHidden w:val="1"/>
    <w:unhideWhenUsed w:val="1"/>
    <w:rsid w:val="004B6340"/>
    <w:rPr>
      <w:color w:val="0000ff"/>
      <w:u w:val="single"/>
    </w:rPr>
  </w:style>
  <w:style w:type="paragraph" w:styleId="BalloonText">
    <w:name w:val="Balloon Text"/>
    <w:basedOn w:val="Normal"/>
    <w:link w:val="BalloonTextChar"/>
    <w:uiPriority w:val="99"/>
    <w:semiHidden w:val="1"/>
    <w:unhideWhenUsed w:val="1"/>
    <w:rsid w:val="0098270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82706"/>
    <w:rPr>
      <w:rFonts w:ascii="Lucida Grande" w:cs="Lucida Grande" w:hAnsi="Lucida Grande"/>
      <w:sz w:val="18"/>
      <w:szCs w:val="18"/>
    </w:rPr>
  </w:style>
  <w:style w:type="paragraph" w:styleId="ListParagraph">
    <w:name w:val="List Paragraph"/>
    <w:basedOn w:val="Normal"/>
    <w:uiPriority w:val="34"/>
    <w:qFormat w:val="1"/>
    <w:rsid w:val="00E57F1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eRapdt0g9Vw4zlYNGysMpECMw==">CgMxLjAyCGguZ2pkZ3hzOAByITFVUDh1blZFejdQMDMwYmNmYV95RGJfdWpKakFqQW8tNg==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2023-03-15T02:16:00Z</dcterms:created>
  <dc:creator>Tiffany Courtnage</dc:creator>
</cp:coreProperties>
</file>